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Tennessee's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rapidly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tackle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Hammons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ORAU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Accelerator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Yarborough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Hammons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Tennessee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Tennessee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Hammons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relocating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Tennessee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Tennessee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Hammons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is that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renaissance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Tennessee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Hammons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are talking about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TCAP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upskill.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kindergartners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Hammons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It's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kindergarten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intrigues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overwhelming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Hammons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inappropriate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anybody.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ORAU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featured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Hammons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Fleischmann's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Michelle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headquarters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Washington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Charlie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Knoxville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Council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gathering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TCAPs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wraparound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... ORU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facilitate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Thursday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Hammons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Tennessee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Hammons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Hammons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registered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Hammons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/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dashes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/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dashes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hammons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@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Hammons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PATHWAY INTERVIEW APRIL 30 (Completed  05/04/26)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May 04, 2026 -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transcript-editor/shared/Dle-yfwOfF14J6aEaLjdYfHS0ZV1a9O-vgG88qqucHsJRPjPqsaW2R2fofPiQRQEZMj_T-t58a3RwWBuiMvsKKjHQ-g?loadFrom=DocumentHeaderDeepLink&amp;ts=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